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36874" cy="765545"/>
                <wp:effectExtent l="0" t="0" r="0" b="0"/>
                <wp:docPr id="1" name="Рисунок 0" descr="1_Primary_logo_on_transparent_203x7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Primary_logo_on_transparent_203x7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40666" cy="766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7.63pt;height:60.28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56"/>
          <w:szCs w:val="56"/>
        </w:rPr>
      </w:r>
    </w:p>
    <w:p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440689</wp:posOffset>
                </wp:positionV>
                <wp:extent cx="606044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60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2336;o:allowoverlap:true;o:allowincell:true;mso-position-horizontal-relative:text;margin-left:-13.05pt;mso-position-horizontal:absolute;mso-position-vertical-relative:text;margin-top:34.70pt;mso-position-vertical:absolute;width:477.2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  <w:r>
        <w:rPr>
          <w:rFonts w:ascii="Times New Roman" w:hAnsi="Times New Roman"/>
          <w:b/>
          <w:sz w:val="48"/>
          <w:szCs w:val="48"/>
        </w:rPr>
        <w:t xml:space="preserve">ООО «ТД «</w:t>
      </w:r>
      <w:r>
        <w:rPr>
          <w:rFonts w:ascii="Times New Roman" w:hAnsi="Times New Roman"/>
          <w:b/>
          <w:sz w:val="48"/>
          <w:szCs w:val="48"/>
        </w:rPr>
        <w:t xml:space="preserve">КСК</w:t>
      </w:r>
      <w:r>
        <w:rPr>
          <w:rFonts w:ascii="Times New Roman" w:hAnsi="Times New Roman"/>
          <w:b/>
          <w:sz w:val="48"/>
          <w:szCs w:val="48"/>
        </w:rPr>
        <w:t xml:space="preserve">»</w:t>
      </w:r>
      <w:r>
        <w:rPr>
          <w:rFonts w:ascii="Times New Roman" w:hAnsi="Times New Roman"/>
          <w:b/>
          <w:sz w:val="48"/>
          <w:szCs w:val="4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640008, Россия, Курганская область, г.о. город Курган, г Курган, ул. Стройбаза, д. 1А</w:t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ИНН 4501205060, КПП </w:t>
      </w:r>
      <w:r>
        <w:rPr>
          <w:rFonts w:ascii="Times New Roman" w:hAnsi="Times New Roman"/>
          <w:b/>
          <w:sz w:val="24"/>
          <w:szCs w:val="24"/>
        </w:rPr>
        <w:t xml:space="preserve">450101001</w:t>
      </w:r>
      <w:r>
        <w:rPr>
          <w:rFonts w:ascii="Times New Roman" w:hAnsi="Times New Roman"/>
          <w:b/>
          <w:sz w:val="24"/>
          <w:szCs w:val="24"/>
        </w:rPr>
        <w:t xml:space="preserve"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ОГРН 1154501008232</w:t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Краткая справка о производственных возможностях </w:t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ООО «ТД «</w:t>
      </w:r>
      <w:r>
        <w:rPr>
          <w:rFonts w:ascii="Times New Roman" w:hAnsi="Times New Roman"/>
          <w:sz w:val="26"/>
          <w:szCs w:val="26"/>
        </w:rPr>
        <w:t xml:space="preserve">КСК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Общество с ограничен</w:t>
      </w:r>
      <w:r>
        <w:rPr>
          <w:rFonts w:ascii="Times New Roman" w:hAnsi="Times New Roman"/>
          <w:sz w:val="26"/>
          <w:szCs w:val="26"/>
        </w:rPr>
        <w:t xml:space="preserve">ной ответственностью </w:t>
      </w:r>
      <w:r>
        <w:rPr>
          <w:rFonts w:ascii="Times New Roman" w:hAnsi="Times New Roman"/>
          <w:sz w:val="26"/>
          <w:szCs w:val="26"/>
        </w:rPr>
        <w:t xml:space="preserve">«Торговый Дом </w:t>
      </w:r>
      <w:r>
        <w:rPr>
          <w:rFonts w:ascii="Times New Roman" w:hAnsi="Times New Roman"/>
          <w:sz w:val="26"/>
          <w:szCs w:val="26"/>
        </w:rPr>
        <w:t xml:space="preserve">«КурганСпецКомплект</w:t>
      </w:r>
      <w:r>
        <w:rPr>
          <w:rFonts w:ascii="Times New Roman" w:hAnsi="Times New Roman"/>
          <w:sz w:val="26"/>
          <w:szCs w:val="26"/>
        </w:rPr>
        <w:t xml:space="preserve">» основано</w:t>
      </w:r>
      <w:r>
        <w:rPr>
          <w:rFonts w:ascii="Times New Roman" w:hAnsi="Times New Roman"/>
          <w:sz w:val="26"/>
          <w:szCs w:val="26"/>
        </w:rPr>
        <w:t xml:space="preserve"> в 2015</w:t>
      </w:r>
      <w:r>
        <w:rPr>
          <w:rFonts w:ascii="Times New Roman" w:hAnsi="Times New Roman"/>
          <w:sz w:val="26"/>
          <w:szCs w:val="26"/>
        </w:rPr>
        <w:t xml:space="preserve"> году. </w:t>
      </w:r>
      <w:r>
        <w:rPr>
          <w:rFonts w:ascii="Times New Roman" w:hAnsi="Times New Roman"/>
          <w:sz w:val="26"/>
          <w:szCs w:val="26"/>
        </w:rPr>
        <w:t xml:space="preserve">В этом же году разлита первая плавка металла, что положило старт активному освоению и производству</w:t>
      </w:r>
      <w:r>
        <w:rPr>
          <w:rFonts w:ascii="Times New Roman" w:hAnsi="Times New Roman"/>
          <w:sz w:val="26"/>
          <w:szCs w:val="26"/>
        </w:rPr>
        <w:t xml:space="preserve"> отливок для различных отраслей промышленности Российской Федерации.</w:t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b/>
          <w:i/>
          <w:sz w:val="26"/>
          <w:szCs w:val="26"/>
        </w:rPr>
        <w:t xml:space="preserve">Основные параметры отливок:</w:t>
      </w:r>
      <w:r>
        <w:rPr>
          <w:rFonts w:ascii="Times New Roman" w:hAnsi="Times New Roman"/>
          <w:b/>
          <w:i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метод производства: литьё по выплавляемым моделям (ЛВМ)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класс точности от 5 по ГОСТ 53464-2009;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вес отливок:</w:t>
      </w:r>
      <w:r>
        <w:rPr>
          <w:rFonts w:ascii="Times New Roman" w:hAnsi="Times New Roman"/>
          <w:sz w:val="26"/>
          <w:szCs w:val="26"/>
        </w:rPr>
        <w:t xml:space="preserve"> от 0,006 кг до 25 кг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твёрдость в соответствии с РЧЗ заказчика;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 задан</w:t>
      </w:r>
      <w:r>
        <w:rPr>
          <w:rFonts w:ascii="Times New Roman" w:hAnsi="Times New Roman"/>
          <w:sz w:val="26"/>
          <w:szCs w:val="26"/>
        </w:rPr>
        <w:t xml:space="preserve">ию заказчика выполняется контроль и предоставляется заключение на различные испытания, такие как механические свойства, испытания на ударную вязкость, на ударный изгиб, контроль методом рентгеноскопии и др. Выдаются заключения аккредитованной лабораторией;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каждую партию отливок предоставляется сертификат качества завода-изготовителя. Информация, указываемая в сертификате, согласовывается с заказчиком на этапе согласования РЧЗ отливки;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шероховатость поверхности отливок от </w:t>
      </w:r>
      <w:r>
        <w:rPr>
          <w:rFonts w:ascii="Times New Roman" w:hAnsi="Times New Roman"/>
          <w:sz w:val="26"/>
          <w:szCs w:val="26"/>
          <w:lang w:val="en-US"/>
        </w:rPr>
        <w:t xml:space="preserve">Rz</w:t>
      </w:r>
      <w:r>
        <w:rPr>
          <w:rFonts w:ascii="Times New Roman" w:hAnsi="Times New Roman"/>
          <w:sz w:val="26"/>
          <w:szCs w:val="26"/>
        </w:rPr>
        <w:t xml:space="preserve">10, в зависимости от сплава и задания заказчика;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материалы отливаемых заготовок: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углеродистые сплавы: 10Л-50Л ГОСТ 977-88, 35ХГСЛ ГОСТ 977-88,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25-40ХМЛ ГОСТ 977-88, 20Х13-40Х13 ГОСТ 977-88, 20Л-50Л ГОСТ 977-88, 20ГЛ ГОСТ 977-88 и другие;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высоколегированные стали:12Х18Н10ТЛ ГОСТ 977-88, 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20Х25Н19МС2Л ГОСТ 977-88, 15Х23Н18Л ГОСТ 977-88 и другие; 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специальные высоколегированные сплавы для ВПК: 08Х14Н5М2ДЛ (ВНЛ-3) ОСТ 90021-92, 10Х18Н9БЛ ОСТ 90021-92 и другие;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чугуны: серый СЧ10-40, высоколегированный ЧН15Д7 (ниризист),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низколегированный-жаростойкий ЧС5, износостойкий ЧХ6-ЧХ16 и другие;</w:t>
      </w:r>
      <w:r>
        <w:rPr>
          <w:rFonts w:ascii="Times New Roman" w:hAnsi="Times New Roman"/>
          <w:sz w:val="26"/>
          <w:szCs w:val="26"/>
        </w:rPr>
      </w:r>
    </w:p>
    <w:p>
      <w:pPr>
        <w:ind w:left="708" w:hanging="282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различные сплавы алюминия, латуни и бронзы;</w:t>
      </w:r>
      <w:r>
        <w:rPr>
          <w:rFonts w:ascii="Times New Roman" w:hAnsi="Times New Roman"/>
          <w:sz w:val="26"/>
          <w:szCs w:val="26"/>
        </w:rPr>
      </w:r>
    </w:p>
    <w:p>
      <w:pPr>
        <w:ind w:left="142" w:hanging="142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общая мощность предприят</w:t>
      </w:r>
      <w:r>
        <w:rPr>
          <w:rFonts w:ascii="Times New Roman" w:hAnsi="Times New Roman"/>
          <w:sz w:val="26"/>
          <w:szCs w:val="26"/>
        </w:rPr>
        <w:t xml:space="preserve">ия до 12</w:t>
      </w:r>
      <w:r>
        <w:rPr>
          <w:rFonts w:ascii="Times New Roman" w:hAnsi="Times New Roman"/>
          <w:sz w:val="26"/>
          <w:szCs w:val="26"/>
        </w:rPr>
        <w:t xml:space="preserve">0 000 кг. литья в месяц.</w:t>
      </w:r>
      <w:r>
        <w:rPr>
          <w:rFonts w:ascii="Times New Roman" w:hAnsi="Times New Roman"/>
          <w:sz w:val="26"/>
          <w:szCs w:val="26"/>
        </w:rPr>
      </w:r>
    </w:p>
    <w:p>
      <w:pPr>
        <w:ind w:firstLine="426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ООО «</w:t>
      </w:r>
      <w:r>
        <w:rPr>
          <w:rFonts w:ascii="Times New Roman" w:hAnsi="Times New Roman"/>
          <w:sz w:val="26"/>
          <w:szCs w:val="26"/>
        </w:rPr>
        <w:t xml:space="preserve">ТД «КСК</w:t>
      </w:r>
      <w:r>
        <w:rPr>
          <w:rFonts w:ascii="Times New Roman" w:hAnsi="Times New Roman"/>
          <w:sz w:val="26"/>
          <w:szCs w:val="26"/>
        </w:rPr>
        <w:t xml:space="preserve">» производит заготовки для следующей отраслей промышленности: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автомобилестроение;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нефтегазовый сектор промышленности;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ВПК (военно-промышленный комплекс), в том числе в рамках 275ФЗ;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сельско</w:t>
      </w:r>
      <w:r>
        <w:rPr>
          <w:rFonts w:ascii="Times New Roman" w:hAnsi="Times New Roman"/>
          <w:sz w:val="26"/>
          <w:szCs w:val="26"/>
        </w:rPr>
        <w:t xml:space="preserve">хозяйственное машиностроение;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производство запорной арматуры;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станкостроение;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производство конвейерного оборудования;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ремонтные нужды цементных заводов;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литьё для геологоразведки;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вагоностроение.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284"/>
        <w:jc w:val="both"/>
        <w:spacing w:after="0"/>
        <w:rPr>
          <w:rFonts w:ascii="Times New Roman" w:hAnsi="Times New Roman"/>
          <w:strike/>
          <w:sz w:val="16"/>
          <w:szCs w:val="16"/>
        </w:rPr>
      </w:pPr>
      <w:r>
        <w:rPr>
          <w:rFonts w:ascii="Times New Roman" w:hAnsi="Times New Roman"/>
          <w:strike/>
          <w:sz w:val="16"/>
          <w:szCs w:val="16"/>
        </w:rPr>
      </w:r>
      <w:r>
        <w:rPr>
          <w:rFonts w:ascii="Times New Roman" w:hAnsi="Times New Roman"/>
          <w:strike/>
          <w:sz w:val="16"/>
          <w:szCs w:val="16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предприятии действует система качества ИСО 9001-2015 (</w:t>
      </w:r>
      <w:r>
        <w:rPr>
          <w:rFonts w:ascii="Times New Roman" w:hAnsi="Times New Roman"/>
          <w:sz w:val="26"/>
          <w:szCs w:val="26"/>
          <w:lang w:val="en-US"/>
        </w:rPr>
        <w:t xml:space="preserve">ISO</w:t>
      </w:r>
      <w:r>
        <w:rPr>
          <w:rFonts w:ascii="Times New Roman" w:hAnsi="Times New Roman"/>
          <w:sz w:val="26"/>
          <w:szCs w:val="26"/>
        </w:rPr>
        <w:t xml:space="preserve"> 9001:2015)</w:t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566"/>
        <w:jc w:val="both"/>
        <w:spacing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142" w:firstLine="566"/>
        <w:jc w:val="both"/>
        <w:spacing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Примеры продукции ООО «</w:t>
      </w:r>
      <w:r>
        <w:rPr>
          <w:rFonts w:ascii="Times New Roman" w:hAnsi="Times New Roman"/>
          <w:sz w:val="26"/>
          <w:szCs w:val="26"/>
        </w:rPr>
        <w:t xml:space="preserve">ТД «КурганСпецКомплект</w:t>
      </w:r>
      <w:r>
        <w:rPr>
          <w:rFonts w:ascii="Times New Roman" w:hAnsi="Times New Roman"/>
          <w:sz w:val="26"/>
          <w:szCs w:val="26"/>
        </w:rPr>
        <w:t xml:space="preserve">»: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120" w:line="240" w:lineRule="auto"/>
        <w:rPr>
          <w:rFonts w:ascii="Times New Roman" w:hAnsi="Times New Roman"/>
          <w:sz w:val="26"/>
          <w:szCs w:val="26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07940" cy="2088000"/>
                <wp:effectExtent l="0" t="0" r="0" b="762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07940" cy="20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8.11pt;height:164.4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0677" cy="2088000"/>
                <wp:effectExtent l="0" t="0" r="4445" b="762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00677" cy="20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9.66pt;height:164.41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43798" cy="2088000"/>
                <wp:effectExtent l="0" t="0" r="0" b="7620"/>
                <wp:docPr id="5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943798" cy="20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53.05pt;height:164.41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120" w:line="240" w:lineRule="auto"/>
        <w:rPr>
          <w:rFonts w:ascii="Times New Roman" w:hAnsi="Times New Roman"/>
          <w:sz w:val="26"/>
          <w:szCs w:val="26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71833" cy="2088000"/>
                <wp:effectExtent l="0" t="0" r="5080" b="7620"/>
                <wp:docPr id="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071833" cy="20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63.14pt;height:164.41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32123" cy="2088000"/>
                <wp:effectExtent l="0" t="0" r="6350" b="7620"/>
                <wp:docPr id="7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32123" cy="20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28.51pt;height:164.41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87880" cy="2093545"/>
                <wp:effectExtent l="0" t="0" r="0" b="0"/>
                <wp:docPr id="8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093659" cy="209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64.40pt;height:164.8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6" w:hanging="10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4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4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  <w:rPr>
      <w:rFonts w:ascii="Calibri" w:hAnsi="Calibri" w:eastAsia="Calibri" w:cs="Times New Roman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paragraph" w:styleId="647">
    <w:name w:val="List Paragraph"/>
    <w:basedOn w:val="643"/>
    <w:uiPriority w:val="34"/>
    <w:qFormat/>
    <w:pPr>
      <w:contextualSpacing/>
      <w:ind w:left="720"/>
    </w:pPr>
  </w:style>
  <w:style w:type="character" w:styleId="648">
    <w:name w:val="Hyperlink"/>
    <w:basedOn w:val="644"/>
    <w:uiPriority w:val="99"/>
    <w:unhideWhenUsed/>
    <w:rPr>
      <w:color w:val="0000ff" w:themeColor="hyperlink"/>
      <w:u w:val="single"/>
    </w:rPr>
  </w:style>
  <w:style w:type="paragraph" w:styleId="649">
    <w:name w:val="Normal (Web)"/>
    <w:basedOn w:val="64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50">
    <w:name w:val="Balloon Text"/>
    <w:basedOn w:val="643"/>
    <w:link w:val="6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1" w:customStyle="1">
    <w:name w:val="Текст выноски Знак"/>
    <w:basedOn w:val="644"/>
    <w:link w:val="650"/>
    <w:uiPriority w:val="99"/>
    <w:semiHidden/>
    <w:rPr>
      <w:rFonts w:ascii="Tahoma" w:hAnsi="Tahoma" w:eastAsia="Calibri" w:cs="Tahoma"/>
      <w:sz w:val="16"/>
      <w:szCs w:val="16"/>
    </w:rPr>
  </w:style>
  <w:style w:type="paragraph" w:styleId="65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653">
    <w:name w:val="Table Grid"/>
    <w:basedOn w:val="645"/>
    <w:uiPriority w:val="59"/>
    <w:unhideWhenUsed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38B4-96FF-4857-97AE-D651638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user15</cp:lastModifiedBy>
  <cp:revision>5</cp:revision>
  <dcterms:created xsi:type="dcterms:W3CDTF">2025-03-17T07:27:00Z</dcterms:created>
  <dcterms:modified xsi:type="dcterms:W3CDTF">2025-11-27T07:17:39Z</dcterms:modified>
</cp:coreProperties>
</file>